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53E9B" w14:textId="77777777" w:rsidR="002024AC" w:rsidRPr="00B0558D" w:rsidRDefault="002024AC" w:rsidP="00B0558D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B0558D">
        <w:rPr>
          <w:rFonts w:ascii="Times New Roman" w:hAnsi="Times New Roman"/>
          <w:sz w:val="24"/>
          <w:szCs w:val="24"/>
        </w:rPr>
        <w:t>ЗАТВЕРДЖЕНО</w:t>
      </w:r>
    </w:p>
    <w:p w14:paraId="076F7882" w14:textId="77777777" w:rsidR="002024AC" w:rsidRPr="00B0558D" w:rsidRDefault="002024AC" w:rsidP="00B0558D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B0558D">
        <w:rPr>
          <w:rFonts w:ascii="Times New Roman" w:hAnsi="Times New Roman"/>
          <w:sz w:val="24"/>
          <w:szCs w:val="24"/>
        </w:rPr>
        <w:t>Рішення виконавчого комітету</w:t>
      </w:r>
    </w:p>
    <w:p w14:paraId="5A6ECF8B" w14:textId="77777777" w:rsidR="002024AC" w:rsidRPr="00B0558D" w:rsidRDefault="002024AC" w:rsidP="00B0558D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B0558D">
        <w:rPr>
          <w:rFonts w:ascii="Times New Roman" w:hAnsi="Times New Roman"/>
          <w:sz w:val="24"/>
          <w:szCs w:val="24"/>
        </w:rPr>
        <w:t>Дмитрівської сільської ради</w:t>
      </w:r>
    </w:p>
    <w:p w14:paraId="681CE9CD" w14:textId="3CEBC4FC" w:rsidR="002024AC" w:rsidRPr="00B0558D" w:rsidRDefault="00B0558D" w:rsidP="00B0558D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B0558D">
        <w:rPr>
          <w:rFonts w:ascii="Times New Roman" w:hAnsi="Times New Roman"/>
          <w:sz w:val="24"/>
          <w:szCs w:val="24"/>
        </w:rPr>
        <w:t>28</w:t>
      </w:r>
      <w:r w:rsidR="002024AC" w:rsidRPr="00B0558D">
        <w:rPr>
          <w:rFonts w:ascii="Times New Roman" w:hAnsi="Times New Roman"/>
          <w:sz w:val="24"/>
          <w:szCs w:val="24"/>
        </w:rPr>
        <w:t xml:space="preserve"> серпня 2025 року № </w:t>
      </w:r>
      <w:r w:rsidRPr="00B0558D">
        <w:rPr>
          <w:rFonts w:ascii="Times New Roman" w:hAnsi="Times New Roman"/>
          <w:sz w:val="24"/>
          <w:szCs w:val="24"/>
        </w:rPr>
        <w:t>104</w:t>
      </w:r>
    </w:p>
    <w:p w14:paraId="3842434D" w14:textId="77777777" w:rsidR="002024AC" w:rsidRPr="00B0558D" w:rsidRDefault="002024AC" w:rsidP="00B0558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11CB50A" w14:textId="77777777" w:rsidR="002024AC" w:rsidRPr="00B0558D" w:rsidRDefault="002024AC" w:rsidP="00B0558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58D">
        <w:rPr>
          <w:rFonts w:ascii="Times New Roman" w:hAnsi="Times New Roman"/>
          <w:b/>
          <w:bCs/>
          <w:sz w:val="28"/>
          <w:szCs w:val="28"/>
        </w:rPr>
        <w:t>Середньостроковий план</w:t>
      </w:r>
    </w:p>
    <w:p w14:paraId="255A3932" w14:textId="77777777" w:rsidR="002024AC" w:rsidRPr="00B0558D" w:rsidRDefault="002024AC" w:rsidP="00B0558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58D">
        <w:rPr>
          <w:rFonts w:ascii="Times New Roman" w:hAnsi="Times New Roman"/>
          <w:b/>
          <w:bCs/>
          <w:sz w:val="28"/>
          <w:szCs w:val="28"/>
        </w:rPr>
        <w:t>пріоритетних публічних інвестицій Дмитрівської сільської територіальної громади на 2026 - 2028 роки</w:t>
      </w:r>
    </w:p>
    <w:p w14:paraId="1150F09C" w14:textId="77777777" w:rsidR="002024AC" w:rsidRPr="00B0558D" w:rsidRDefault="002024AC" w:rsidP="00B0558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58D">
        <w:rPr>
          <w:rFonts w:ascii="Times New Roman" w:hAnsi="Times New Roman"/>
          <w:b/>
          <w:bCs/>
          <w:sz w:val="28"/>
          <w:szCs w:val="28"/>
        </w:rPr>
        <w:t>Загальна частина</w:t>
      </w:r>
    </w:p>
    <w:p w14:paraId="692B420C" w14:textId="7EF3B9DD" w:rsidR="002024AC" w:rsidRPr="00B0558D" w:rsidRDefault="002024AC" w:rsidP="00B055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>Середньостроковий план пріоритетних публічних інвестицій (далі -середньостроковий план) розроблено відповідно до статті 75²</w:t>
      </w:r>
      <w:r w:rsidR="00B0558D" w:rsidRPr="00B0558D">
        <w:rPr>
          <w:rFonts w:ascii="Times New Roman" w:hAnsi="Times New Roman"/>
          <w:sz w:val="28"/>
          <w:szCs w:val="28"/>
        </w:rPr>
        <w:t xml:space="preserve"> Бюджетного кодексу України, Порядку розроблення та </w:t>
      </w:r>
      <w:r w:rsidRPr="00B0558D">
        <w:rPr>
          <w:rFonts w:ascii="Times New Roman" w:hAnsi="Times New Roman"/>
          <w:sz w:val="28"/>
          <w:szCs w:val="28"/>
        </w:rPr>
        <w:t xml:space="preserve">моніторингу реалізації середньострокового плану пріоритетних публічних інвестицій держави, затвердженого постановою Кабінету Міністрів України від 28 лютого </w:t>
      </w:r>
      <w:r w:rsidR="00B0558D" w:rsidRPr="00B0558D">
        <w:rPr>
          <w:rFonts w:ascii="Times New Roman" w:hAnsi="Times New Roman"/>
          <w:sz w:val="28"/>
          <w:szCs w:val="28"/>
        </w:rPr>
        <w:br/>
        <w:t xml:space="preserve">2025 року №294, </w:t>
      </w:r>
      <w:r w:rsidRPr="00B0558D">
        <w:rPr>
          <w:rFonts w:ascii="Times New Roman" w:hAnsi="Times New Roman"/>
          <w:sz w:val="28"/>
          <w:szCs w:val="28"/>
        </w:rPr>
        <w:t xml:space="preserve">постанови Кабінету Міністрів України від 28 лютого </w:t>
      </w:r>
      <w:r w:rsidR="00B0558D" w:rsidRPr="00B0558D">
        <w:rPr>
          <w:rFonts w:ascii="Times New Roman" w:hAnsi="Times New Roman"/>
          <w:sz w:val="28"/>
          <w:szCs w:val="28"/>
        </w:rPr>
        <w:br/>
        <w:t>2025 року №</w:t>
      </w:r>
      <w:r w:rsidRPr="00B0558D">
        <w:rPr>
          <w:rFonts w:ascii="Times New Roman" w:hAnsi="Times New Roman"/>
          <w:sz w:val="28"/>
          <w:szCs w:val="28"/>
        </w:rPr>
        <w:t>527 «Деякі питання управління публічними інвестиціями», Середньострокового плану пріор</w:t>
      </w:r>
      <w:r w:rsidR="00B0558D" w:rsidRPr="00B0558D">
        <w:rPr>
          <w:rFonts w:ascii="Times New Roman" w:hAnsi="Times New Roman"/>
          <w:sz w:val="28"/>
          <w:szCs w:val="28"/>
        </w:rPr>
        <w:t>и</w:t>
      </w:r>
      <w:r w:rsidRPr="00B0558D">
        <w:rPr>
          <w:rFonts w:ascii="Times New Roman" w:hAnsi="Times New Roman"/>
          <w:sz w:val="28"/>
          <w:szCs w:val="28"/>
        </w:rPr>
        <w:t xml:space="preserve">тетних публічних інвестицій держави на 2026-2028 роки, затвердженого розпорядженням Кабінету Міністрів України від 02 липня 2025 року №671-р, </w:t>
      </w:r>
      <w:r w:rsidR="00B0558D" w:rsidRPr="00B0558D">
        <w:rPr>
          <w:rFonts w:ascii="Times New Roman" w:hAnsi="Times New Roman"/>
          <w:sz w:val="28"/>
          <w:szCs w:val="28"/>
        </w:rPr>
        <w:t>рішення Дмитрівської</w:t>
      </w:r>
      <w:r w:rsidRPr="00B0558D">
        <w:rPr>
          <w:rFonts w:ascii="Times New Roman" w:hAnsi="Times New Roman"/>
          <w:sz w:val="28"/>
          <w:szCs w:val="28"/>
        </w:rPr>
        <w:t xml:space="preserve"> сільської ради від </w:t>
      </w:r>
      <w:r w:rsidR="00B0558D" w:rsidRPr="00B0558D">
        <w:rPr>
          <w:rFonts w:ascii="Times New Roman" w:hAnsi="Times New Roman"/>
          <w:sz w:val="28"/>
          <w:szCs w:val="28"/>
        </w:rPr>
        <w:br/>
      </w:r>
      <w:r w:rsidRPr="00B0558D">
        <w:rPr>
          <w:rFonts w:ascii="Times New Roman" w:hAnsi="Times New Roman"/>
          <w:sz w:val="28"/>
          <w:szCs w:val="28"/>
        </w:rPr>
        <w:t>05 вересня 2019 року №308 «Про затвердження Стратегії сталого розвитку Дмитрівської сільської об'єднаної територіальної громади Кіровоградської області на 2019-2027 роки».</w:t>
      </w:r>
    </w:p>
    <w:p w14:paraId="3B91BB19" w14:textId="77777777" w:rsidR="002024AC" w:rsidRPr="00B0558D" w:rsidRDefault="002024AC" w:rsidP="00B055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 xml:space="preserve">Середньостроковий план формує основу для побудови ефективної та дієвої системи управління публічними інвестиціями, що забезпечує оптимізацію використання бюджетних ресурсів, підвищення прозорості у використанні публічних коштів та інтеграцію публічних інвестицій у загальний процес стратегічного планування, а також дозволяє зосередити ресурси на найбільш важливих для громади публічних інвестиційних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проєктах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(далі -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58D">
        <w:rPr>
          <w:rFonts w:ascii="Times New Roman" w:hAnsi="Times New Roman"/>
          <w:sz w:val="28"/>
          <w:szCs w:val="28"/>
        </w:rPr>
        <w:t>) та програмах публічних інвестицій (далі - програма).</w:t>
      </w:r>
    </w:p>
    <w:p w14:paraId="60C387C5" w14:textId="77777777" w:rsidR="002024AC" w:rsidRPr="00B0558D" w:rsidRDefault="002024AC" w:rsidP="00B055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 xml:space="preserve">Середньостроковий план визначає засади здійснення публічних інвестицій на середньостроковий період,  зокрема пріоритетні галузі (сектори) для публічного інвестування, основні напрями публічного інвестування (у тому числі за діючими публічними інвестиційними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проєктами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та програмами публічних інвестицій) відповідно до цілей державної політики в розрізі сфери діяльності, орієнтовний розподіл коштів за рахунок різних джерел фінансування, стратегічних цілей. </w:t>
      </w:r>
    </w:p>
    <w:p w14:paraId="483C7AAA" w14:textId="77777777" w:rsidR="002024AC" w:rsidRPr="00B0558D" w:rsidRDefault="002024AC" w:rsidP="00B055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 xml:space="preserve">Сфера дії середньострокового плану включає публічні інвестиції, що спрямовані на реалізацію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та програм. Водночас не охоплює компенсації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України, а також</w:t>
      </w:r>
    </w:p>
    <w:p w14:paraId="533AAD63" w14:textId="77777777" w:rsidR="002024AC" w:rsidRPr="00B0558D" w:rsidRDefault="002024AC" w:rsidP="00B05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 xml:space="preserve">гранти, програми підтримки бізнесу, фінансування від міжнародних фінансових організацій для приватного сектора та інші інструменти і форми </w:t>
      </w:r>
      <w:r w:rsidRPr="00B0558D">
        <w:rPr>
          <w:rFonts w:ascii="Times New Roman" w:hAnsi="Times New Roman"/>
          <w:sz w:val="28"/>
          <w:szCs w:val="28"/>
        </w:rPr>
        <w:lastRenderedPageBreak/>
        <w:t>підтримки бізнесу та громадян, які не є публічними інвестиціями у розумінні Бюджетного кодексу України.</w:t>
      </w:r>
    </w:p>
    <w:p w14:paraId="0D1AA2CF" w14:textId="77777777" w:rsidR="002024AC" w:rsidRPr="00B0558D" w:rsidRDefault="002024AC" w:rsidP="00B0558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1E48BA2" w14:textId="77777777" w:rsidR="002024AC" w:rsidRPr="00B0558D" w:rsidRDefault="002024AC" w:rsidP="00B0558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58D">
        <w:rPr>
          <w:rFonts w:ascii="Times New Roman" w:hAnsi="Times New Roman"/>
          <w:b/>
          <w:bCs/>
          <w:sz w:val="28"/>
          <w:szCs w:val="28"/>
        </w:rPr>
        <w:t>Описова частина</w:t>
      </w:r>
    </w:p>
    <w:p w14:paraId="47CD94AD" w14:textId="77777777" w:rsidR="002024AC" w:rsidRPr="00B0558D" w:rsidRDefault="002024AC" w:rsidP="00B055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>Середньостроковий план розроблено відділом економічного розвитку, інвестицій та комунальної власності апарату Дмитрівської сільської ради на підставі пропозицій структурних підрозділів сільської ради відповідно до цілей і завдань, визначених Стратегією розвитку громади на 2019 – 2027 роки, у межах орієнтовного граничного обсягу публічних інвестицій на середньостроковий період, доведеного фінансовим відділом Дмитрівської сільської  ради та схвалений  Місцевою інвестиційною радою.</w:t>
      </w:r>
    </w:p>
    <w:p w14:paraId="34CD8DFC" w14:textId="77777777" w:rsidR="002024AC" w:rsidRPr="00B0558D" w:rsidRDefault="002024AC" w:rsidP="00B0558D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0558D">
        <w:rPr>
          <w:rFonts w:ascii="Times New Roman" w:hAnsi="Times New Roman"/>
          <w:b/>
          <w:bCs/>
          <w:i/>
          <w:iCs/>
          <w:sz w:val="28"/>
          <w:szCs w:val="28"/>
        </w:rPr>
        <w:t>Наскрізні стратегічні цілі здійснення публічних інвестицій.</w:t>
      </w:r>
    </w:p>
    <w:p w14:paraId="4CCCCDEB" w14:textId="77777777" w:rsidR="002024AC" w:rsidRPr="00B0558D" w:rsidRDefault="002024AC" w:rsidP="00B055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>Наскрізними стратегічними цілями здійснення публічних інвестицій (далі - наскрізні стратегічні цілі) є загальні, довгострокові орієнтири, які визначають напрямки розвитку громади та враховуються при розробці стратегії її розвитку. Вони забезпечують узгодженість та цілеспрямованість дій у різних сферах життя громади.</w:t>
      </w:r>
    </w:p>
    <w:p w14:paraId="68049440" w14:textId="50BBEFEF" w:rsidR="002024AC" w:rsidRPr="00B0558D" w:rsidRDefault="002024AC" w:rsidP="00B055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 xml:space="preserve">На 2026-2028 роки стратегічними цілями залишаються ті цілі, які прописані в </w:t>
      </w:r>
      <w:r w:rsidR="00545A4C" w:rsidRPr="00B0558D">
        <w:rPr>
          <w:rFonts w:ascii="Times New Roman" w:hAnsi="Times New Roman"/>
          <w:sz w:val="28"/>
          <w:szCs w:val="28"/>
        </w:rPr>
        <w:t>Стратегії сталого розвитку Дмитрівської сільської об'єднаної територіальної громади Кіровоградської області на 2019-2027 роки</w:t>
      </w:r>
      <w:r w:rsidRPr="00B0558D">
        <w:rPr>
          <w:rFonts w:ascii="Times New Roman" w:hAnsi="Times New Roman"/>
          <w:sz w:val="28"/>
          <w:szCs w:val="28"/>
        </w:rPr>
        <w:t>.</w:t>
      </w:r>
      <w:r w:rsidRPr="00B0558D">
        <w:t xml:space="preserve"> </w:t>
      </w:r>
      <w:r w:rsidRPr="00B0558D">
        <w:rPr>
          <w:rFonts w:ascii="Times New Roman" w:hAnsi="Times New Roman"/>
          <w:sz w:val="28"/>
          <w:szCs w:val="28"/>
        </w:rPr>
        <w:t>На даний час в громаді проводиться робота щодо актуалізації діючої Стратегії розвитку Дмитрівської громади.</w:t>
      </w:r>
    </w:p>
    <w:p w14:paraId="12B839F6" w14:textId="77777777" w:rsidR="002024AC" w:rsidRPr="00B0558D" w:rsidRDefault="002024AC" w:rsidP="00B0558D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B0558D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Стратегічна ціль 1 </w:t>
      </w:r>
      <w:r w:rsidRPr="00B0558D">
        <w:rPr>
          <w:rFonts w:ascii="Times New Roman" w:hAnsi="Times New Roman"/>
          <w:i/>
          <w:iCs/>
          <w:sz w:val="28"/>
          <w:szCs w:val="28"/>
        </w:rPr>
        <w:t xml:space="preserve">Економічно сильна громада веде екологічно чистий бізнес у сфері сільського господарства, переробки, лісового господарства та </w:t>
      </w:r>
      <w:proofErr w:type="spellStart"/>
      <w:r w:rsidRPr="00B0558D">
        <w:rPr>
          <w:rFonts w:ascii="Times New Roman" w:hAnsi="Times New Roman"/>
          <w:i/>
          <w:iCs/>
          <w:sz w:val="28"/>
          <w:szCs w:val="28"/>
        </w:rPr>
        <w:t>агротуризму</w:t>
      </w:r>
      <w:proofErr w:type="spellEnd"/>
      <w:r w:rsidRPr="00B0558D">
        <w:rPr>
          <w:rFonts w:ascii="Times New Roman" w:hAnsi="Times New Roman"/>
          <w:i/>
          <w:iCs/>
          <w:sz w:val="28"/>
          <w:szCs w:val="28"/>
        </w:rPr>
        <w:t>, забезпечуючи роботу та гідний дохід жителям та приїжджим фахівцям. Громада володіє суттєвими ресурсами, перш за все, земельними, та має можливість, з урахуванням процесів трансформації національної економіки України, створити умови для залучення інвестицій до пріоритетних секторів підприємництва – високоефективне сільське господарство, туризм.</w:t>
      </w:r>
    </w:p>
    <w:p w14:paraId="40945C9F" w14:textId="77777777" w:rsidR="002024AC" w:rsidRPr="00B0558D" w:rsidRDefault="002024AC" w:rsidP="00B055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Стратегічна ціль 2 </w:t>
      </w:r>
      <w:r w:rsidRPr="00B0558D">
        <w:rPr>
          <w:rFonts w:ascii="Times New Roman" w:hAnsi="Times New Roman"/>
          <w:i/>
          <w:iCs/>
          <w:sz w:val="28"/>
          <w:szCs w:val="28"/>
        </w:rPr>
        <w:t>Сучасна комунальна інфраструктура, яка постійно розвивається та якою вміло управляють, забезпечує мешканцям високу якість життя у здоровому природному середовищі</w:t>
      </w:r>
      <w:r w:rsidRPr="00B0558D">
        <w:rPr>
          <w:rFonts w:ascii="Times New Roman" w:hAnsi="Times New Roman"/>
          <w:sz w:val="28"/>
          <w:szCs w:val="28"/>
        </w:rPr>
        <w:t xml:space="preserve">. </w:t>
      </w:r>
    </w:p>
    <w:p w14:paraId="16B219D4" w14:textId="77777777" w:rsidR="002024AC" w:rsidRPr="00B0558D" w:rsidRDefault="002024AC" w:rsidP="00B0558D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B0558D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Стратегічна ціль 3 </w:t>
      </w:r>
      <w:r w:rsidRPr="00B0558D">
        <w:rPr>
          <w:rFonts w:ascii="Times New Roman" w:hAnsi="Times New Roman"/>
          <w:i/>
          <w:iCs/>
          <w:sz w:val="28"/>
          <w:szCs w:val="28"/>
        </w:rPr>
        <w:t xml:space="preserve">Освічена, здорова, культурна та активна місцева спільнота всіх населених пунктів громади має почуття безпеки та впливу на розвиток спільних надбань. </w:t>
      </w:r>
    </w:p>
    <w:p w14:paraId="49959A3B" w14:textId="77777777" w:rsidR="002024AC" w:rsidRPr="00B0558D" w:rsidRDefault="002024AC" w:rsidP="00B0558D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B0558D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Стратегічна ціль 4 </w:t>
      </w:r>
      <w:r w:rsidRPr="00B0558D">
        <w:rPr>
          <w:rFonts w:ascii="Times New Roman" w:hAnsi="Times New Roman"/>
          <w:i/>
          <w:iCs/>
          <w:sz w:val="28"/>
          <w:szCs w:val="28"/>
        </w:rPr>
        <w:t xml:space="preserve">Згуртована та свідома власної ідентичності громада, бере участь у партнерській співпраці з місцевими органами влади, установами та громадськими організаціями в регіоні, країні та Європі. </w:t>
      </w:r>
    </w:p>
    <w:p w14:paraId="0B4A9677" w14:textId="77777777" w:rsidR="002024AC" w:rsidRPr="00B0558D" w:rsidRDefault="002024AC" w:rsidP="00B055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 xml:space="preserve">Дмитрівська громада дбає про свою територію, а саме: необхідність покращення інфраструктури, екологічної ситуації, збереження навколишнього </w:t>
      </w:r>
      <w:r w:rsidRPr="00B0558D">
        <w:rPr>
          <w:rFonts w:ascii="Times New Roman" w:hAnsi="Times New Roman"/>
          <w:sz w:val="28"/>
          <w:szCs w:val="28"/>
        </w:rPr>
        <w:lastRenderedPageBreak/>
        <w:t>середовища. Якісні дороги, благоустрій населених пунктів, системний підхід у просторовому плануванні сприятимуть досягненню цієї цілі.</w:t>
      </w:r>
    </w:p>
    <w:p w14:paraId="477AFC37" w14:textId="77777777" w:rsidR="002024AC" w:rsidRPr="00B0558D" w:rsidRDefault="002024AC" w:rsidP="00B0558D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0558D">
        <w:rPr>
          <w:rFonts w:ascii="Times New Roman" w:hAnsi="Times New Roman"/>
          <w:b/>
          <w:bCs/>
          <w:i/>
          <w:iCs/>
          <w:sz w:val="28"/>
          <w:szCs w:val="28"/>
        </w:rPr>
        <w:t>Пріоритетні галузі (сектори) для публічного інвестування</w:t>
      </w:r>
    </w:p>
    <w:p w14:paraId="542AB188" w14:textId="77777777" w:rsidR="002024AC" w:rsidRPr="00B0558D" w:rsidRDefault="002024AC" w:rsidP="00B055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>Пріоритетні галузі для публічного інвестування, що містяться в середньостроковому плані є ключовими для громади та саме на них спрямовуватимуться публічні інвестиції на середньостроковий період.</w:t>
      </w:r>
    </w:p>
    <w:p w14:paraId="04E9894C" w14:textId="77777777" w:rsidR="002024AC" w:rsidRPr="00B0558D" w:rsidRDefault="002024AC" w:rsidP="00B055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>Пріоритетні галузі для публічного інвестування були відібрані та впорядковані на період дії середньострокового плану, враховуючи потреби, пріоритети та спроможність громади.</w:t>
      </w:r>
    </w:p>
    <w:p w14:paraId="0E44E8C0" w14:textId="77777777" w:rsidR="002024AC" w:rsidRPr="00B0558D" w:rsidRDefault="002024AC" w:rsidP="00B055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>До пріоритетних галузей для публічного інвестування, визначених цим планом, відносяться – «</w:t>
      </w:r>
      <w:bookmarkStart w:id="0" w:name="_Hlk206667339"/>
      <w:r w:rsidRPr="00B0558D">
        <w:rPr>
          <w:rFonts w:ascii="Times New Roman" w:hAnsi="Times New Roman"/>
          <w:sz w:val="28"/>
          <w:szCs w:val="28"/>
        </w:rPr>
        <w:t>Освіта і наука</w:t>
      </w:r>
      <w:bookmarkEnd w:id="0"/>
      <w:r w:rsidRPr="00B0558D">
        <w:rPr>
          <w:rFonts w:ascii="Times New Roman" w:hAnsi="Times New Roman"/>
          <w:sz w:val="28"/>
          <w:szCs w:val="28"/>
        </w:rPr>
        <w:t xml:space="preserve">»; </w:t>
      </w:r>
      <w:bookmarkStart w:id="1" w:name="_Hlk206666175"/>
      <w:r w:rsidRPr="00B0558D">
        <w:rPr>
          <w:rFonts w:ascii="Times New Roman" w:hAnsi="Times New Roman"/>
          <w:sz w:val="28"/>
          <w:szCs w:val="28"/>
        </w:rPr>
        <w:t>«Муніципальна інфраструктура та послуги» та «Соціальна сфера».</w:t>
      </w:r>
    </w:p>
    <w:bookmarkEnd w:id="1"/>
    <w:p w14:paraId="04A1D3D0" w14:textId="77777777" w:rsidR="002024AC" w:rsidRPr="00B0558D" w:rsidRDefault="002024AC" w:rsidP="00B055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>З метою досягнення стратегічних цілей розвитку громади та забезпечення реалізації завдань спрямованих на відновлення інфраструктури, стимулювання соціально-економічного розвитку і покращення якості життя громадян протягом 2026-2028 років середньостроковим планом пропонується визначити галузь «Освіта і наука»; «Муніципальна інфраструктура та послуги» та «Соціальна сфера».</w:t>
      </w:r>
    </w:p>
    <w:p w14:paraId="4F477FAB" w14:textId="77777777" w:rsidR="002024AC" w:rsidRPr="00B0558D" w:rsidRDefault="002024AC" w:rsidP="00B055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F9AA4D" w14:textId="77777777" w:rsidR="002024AC" w:rsidRPr="00B0558D" w:rsidRDefault="002024AC" w:rsidP="00B0558D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B0558D">
        <w:rPr>
          <w:rFonts w:ascii="Times New Roman" w:hAnsi="Times New Roman"/>
          <w:b/>
          <w:bCs/>
          <w:i/>
          <w:iCs/>
          <w:sz w:val="28"/>
          <w:szCs w:val="28"/>
        </w:rPr>
        <w:t>Підсектори</w:t>
      </w:r>
      <w:proofErr w:type="spellEnd"/>
      <w:r w:rsidRPr="00B0558D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галузей для публічного інвестування</w:t>
      </w:r>
    </w:p>
    <w:p w14:paraId="79070404" w14:textId="11830700" w:rsidR="002024AC" w:rsidRPr="00B0558D" w:rsidRDefault="00B0558D" w:rsidP="00B055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Підсектори</w:t>
      </w:r>
      <w:proofErr w:type="spellEnd"/>
      <w:r>
        <w:rPr>
          <w:rFonts w:ascii="Times New Roman" w:hAnsi="Times New Roman"/>
          <w:sz w:val="28"/>
          <w:szCs w:val="28"/>
        </w:rPr>
        <w:t xml:space="preserve"> галузей </w:t>
      </w:r>
      <w:r w:rsidR="002024AC" w:rsidRPr="00B0558D">
        <w:rPr>
          <w:rFonts w:ascii="Times New Roman" w:hAnsi="Times New Roman"/>
          <w:sz w:val="28"/>
          <w:szCs w:val="28"/>
        </w:rPr>
        <w:t>для публічного інвестування визначають конкретні сфери діяльності, що потребують фінансування та особливої уваги з боку сільської ради. Їх визначення  дозволяє деталізувати пріоритети та оптимізувати  використання бюджетних коштів.</w:t>
      </w:r>
    </w:p>
    <w:p w14:paraId="1D320890" w14:textId="77777777" w:rsidR="002024AC" w:rsidRPr="00B0558D" w:rsidRDefault="002024AC" w:rsidP="00B055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558D">
        <w:rPr>
          <w:rFonts w:ascii="Times New Roman" w:hAnsi="Times New Roman"/>
          <w:sz w:val="28"/>
          <w:szCs w:val="28"/>
        </w:rPr>
        <w:t>Підсектори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є важливими аналітичними одиницями, які сприяють реалізації державних стратегій розвитку та забезпечують впровадження інтегрованого підходу до управління публічними інвестиціями.</w:t>
      </w:r>
    </w:p>
    <w:p w14:paraId="237F4093" w14:textId="77777777" w:rsidR="002024AC" w:rsidRPr="00B0558D" w:rsidRDefault="002024AC" w:rsidP="00B0558D">
      <w:pPr>
        <w:spacing w:line="240" w:lineRule="auto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>Орієнтовний граничний сукупний обсяг публічних інвестицій на 2026 – 2028 роки в розрізі джерел фінансового забезпечення та за роками становить:</w:t>
      </w:r>
    </w:p>
    <w:p w14:paraId="0ACFE1E2" w14:textId="71C46C58" w:rsidR="008E41F9" w:rsidRPr="00BC2AB2" w:rsidRDefault="008E41F9" w:rsidP="00B0558D">
      <w:pPr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  <w:lang w:val="ru-RU"/>
        </w:rPr>
      </w:pP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  <w:t>грн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1557"/>
        <w:gridCol w:w="1557"/>
        <w:gridCol w:w="1557"/>
        <w:gridCol w:w="1557"/>
      </w:tblGrid>
      <w:tr w:rsidR="00B0558D" w:rsidRPr="00B0558D" w14:paraId="05088A61" w14:textId="77777777" w:rsidTr="00B0558D">
        <w:tc>
          <w:tcPr>
            <w:tcW w:w="3227" w:type="dxa"/>
            <w:vAlign w:val="center"/>
          </w:tcPr>
          <w:p w14:paraId="63DD0D15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Показник</w:t>
            </w:r>
          </w:p>
        </w:tc>
        <w:tc>
          <w:tcPr>
            <w:tcW w:w="1579" w:type="dxa"/>
            <w:vAlign w:val="center"/>
          </w:tcPr>
          <w:p w14:paraId="324BDBFC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2026 рік</w:t>
            </w:r>
          </w:p>
          <w:p w14:paraId="234327F8" w14:textId="1E561F13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1579" w:type="dxa"/>
            <w:vAlign w:val="center"/>
          </w:tcPr>
          <w:p w14:paraId="62610B44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2027 рік</w:t>
            </w:r>
          </w:p>
          <w:p w14:paraId="3FFA160E" w14:textId="267E50FC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1579" w:type="dxa"/>
            <w:vAlign w:val="center"/>
          </w:tcPr>
          <w:p w14:paraId="782CF591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2028 рік</w:t>
            </w:r>
          </w:p>
          <w:p w14:paraId="6FD5BDC0" w14:textId="56F5A30B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1579" w:type="dxa"/>
            <w:vAlign w:val="center"/>
          </w:tcPr>
          <w:p w14:paraId="75DD552D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  <w:p w14:paraId="471984E0" w14:textId="7F0CBB6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2026-2028 роки</w:t>
            </w:r>
          </w:p>
          <w:p w14:paraId="390B6403" w14:textId="287CD27C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</w:tr>
      <w:tr w:rsidR="00B0558D" w:rsidRPr="00B0558D" w14:paraId="38AC30FF" w14:textId="77777777" w:rsidTr="00B0558D">
        <w:tc>
          <w:tcPr>
            <w:tcW w:w="3227" w:type="dxa"/>
          </w:tcPr>
          <w:p w14:paraId="33B16310" w14:textId="1A5EA7A8" w:rsidR="002024AC" w:rsidRPr="00B0558D" w:rsidRDefault="00545A4C" w:rsidP="00B0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Загальний фонд бюджету</w:t>
            </w:r>
            <w:r w:rsidR="00B0558D" w:rsidRPr="00B0558D">
              <w:rPr>
                <w:rFonts w:ascii="Times New Roman" w:hAnsi="Times New Roman"/>
                <w:sz w:val="24"/>
                <w:szCs w:val="24"/>
              </w:rPr>
              <w:t xml:space="preserve"> громади</w:t>
            </w:r>
          </w:p>
        </w:tc>
        <w:tc>
          <w:tcPr>
            <w:tcW w:w="1579" w:type="dxa"/>
          </w:tcPr>
          <w:p w14:paraId="37321CA7" w14:textId="77777777" w:rsidR="002024AC" w:rsidRPr="00B0558D" w:rsidRDefault="002024AC" w:rsidP="00B0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4 000 000</w:t>
            </w:r>
          </w:p>
        </w:tc>
        <w:tc>
          <w:tcPr>
            <w:tcW w:w="1579" w:type="dxa"/>
          </w:tcPr>
          <w:p w14:paraId="18820338" w14:textId="77777777" w:rsidR="002024AC" w:rsidRPr="00B0558D" w:rsidRDefault="002024AC" w:rsidP="00B0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4 600 000</w:t>
            </w:r>
          </w:p>
        </w:tc>
        <w:tc>
          <w:tcPr>
            <w:tcW w:w="1579" w:type="dxa"/>
          </w:tcPr>
          <w:p w14:paraId="4EC238EF" w14:textId="77777777" w:rsidR="002024AC" w:rsidRPr="00B0558D" w:rsidRDefault="002024AC" w:rsidP="00B0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5 200 000</w:t>
            </w:r>
          </w:p>
        </w:tc>
        <w:tc>
          <w:tcPr>
            <w:tcW w:w="1579" w:type="dxa"/>
          </w:tcPr>
          <w:p w14:paraId="0C0F0E81" w14:textId="77777777" w:rsidR="002024AC" w:rsidRPr="00B0558D" w:rsidRDefault="002024AC" w:rsidP="00B0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13 800 000</w:t>
            </w:r>
          </w:p>
        </w:tc>
      </w:tr>
      <w:tr w:rsidR="00B0558D" w:rsidRPr="00B0558D" w14:paraId="49F0FF18" w14:textId="77777777" w:rsidTr="00B0558D">
        <w:tc>
          <w:tcPr>
            <w:tcW w:w="3227" w:type="dxa"/>
          </w:tcPr>
          <w:p w14:paraId="40E08113" w14:textId="5618589F" w:rsidR="002024AC" w:rsidRPr="00B0558D" w:rsidRDefault="00B0558D" w:rsidP="00B0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1579" w:type="dxa"/>
          </w:tcPr>
          <w:p w14:paraId="7FC498F4" w14:textId="77777777" w:rsidR="002024AC" w:rsidRPr="00B0558D" w:rsidRDefault="002024AC" w:rsidP="00B0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4 000 000</w:t>
            </w:r>
          </w:p>
        </w:tc>
        <w:tc>
          <w:tcPr>
            <w:tcW w:w="1579" w:type="dxa"/>
          </w:tcPr>
          <w:p w14:paraId="342CCDCA" w14:textId="77777777" w:rsidR="002024AC" w:rsidRPr="00B0558D" w:rsidRDefault="002024AC" w:rsidP="00B0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4 600 000</w:t>
            </w:r>
          </w:p>
        </w:tc>
        <w:tc>
          <w:tcPr>
            <w:tcW w:w="1579" w:type="dxa"/>
          </w:tcPr>
          <w:p w14:paraId="35DF8FAE" w14:textId="77777777" w:rsidR="002024AC" w:rsidRPr="00B0558D" w:rsidRDefault="002024AC" w:rsidP="00B0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5 200 000</w:t>
            </w:r>
          </w:p>
        </w:tc>
        <w:tc>
          <w:tcPr>
            <w:tcW w:w="1579" w:type="dxa"/>
          </w:tcPr>
          <w:p w14:paraId="5C97E31F" w14:textId="77777777" w:rsidR="002024AC" w:rsidRPr="00B0558D" w:rsidRDefault="002024AC" w:rsidP="00B05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13 800 000</w:t>
            </w:r>
          </w:p>
        </w:tc>
      </w:tr>
    </w:tbl>
    <w:p w14:paraId="3D770599" w14:textId="77777777" w:rsidR="002024AC" w:rsidRPr="00B0558D" w:rsidRDefault="002024AC" w:rsidP="00B0558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A1E9C2C" w14:textId="57A3B1B1" w:rsidR="002024AC" w:rsidRPr="00B0558D" w:rsidRDefault="002024AC" w:rsidP="00B055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 xml:space="preserve">Розподіл орієнтовного граничного сукупного обсягу публічних інвестицій на 2026, 2027, 2028 роки на сектори (галузі) для публічного інвестування в межах доведеного фінансовим відділом </w:t>
      </w:r>
      <w:r w:rsidR="008E41F9" w:rsidRPr="00B0558D">
        <w:rPr>
          <w:rFonts w:ascii="Times New Roman" w:hAnsi="Times New Roman"/>
          <w:sz w:val="28"/>
          <w:szCs w:val="28"/>
        </w:rPr>
        <w:t xml:space="preserve">орієнтовного </w:t>
      </w:r>
      <w:r w:rsidR="008E41F9" w:rsidRPr="00B0558D">
        <w:rPr>
          <w:rFonts w:ascii="Times New Roman" w:hAnsi="Times New Roman"/>
          <w:sz w:val="28"/>
          <w:szCs w:val="28"/>
        </w:rPr>
        <w:lastRenderedPageBreak/>
        <w:t xml:space="preserve">граничного </w:t>
      </w:r>
      <w:r w:rsidRPr="00B0558D">
        <w:rPr>
          <w:rFonts w:ascii="Times New Roman" w:hAnsi="Times New Roman"/>
          <w:sz w:val="28"/>
          <w:szCs w:val="28"/>
        </w:rPr>
        <w:t>сукупного обсягу публічних інвестицій на середньостроковий період має таку структуру:</w:t>
      </w:r>
    </w:p>
    <w:p w14:paraId="2A982846" w14:textId="7D9FAD33" w:rsidR="008E41F9" w:rsidRPr="00BC2AB2" w:rsidRDefault="008E41F9" w:rsidP="00B0558D">
      <w:pPr>
        <w:spacing w:after="0" w:line="240" w:lineRule="auto"/>
        <w:ind w:right="142"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B0558D">
        <w:rPr>
          <w:rFonts w:ascii="Times New Roman" w:hAnsi="Times New Roman"/>
          <w:sz w:val="28"/>
          <w:szCs w:val="28"/>
        </w:rPr>
        <w:t xml:space="preserve">  </w:t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</w:r>
      <w:r w:rsidRPr="00B0558D">
        <w:rPr>
          <w:rFonts w:ascii="Times New Roman" w:hAnsi="Times New Roman"/>
          <w:sz w:val="28"/>
          <w:szCs w:val="28"/>
        </w:rPr>
        <w:tab/>
        <w:t>грн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393"/>
        <w:gridCol w:w="1357"/>
        <w:gridCol w:w="1372"/>
        <w:gridCol w:w="1553"/>
      </w:tblGrid>
      <w:tr w:rsidR="004E0FB0" w:rsidRPr="00B0558D" w14:paraId="40C63256" w14:textId="77777777" w:rsidTr="00B0558D">
        <w:tc>
          <w:tcPr>
            <w:tcW w:w="4077" w:type="dxa"/>
            <w:vAlign w:val="center"/>
          </w:tcPr>
          <w:p w14:paraId="2359F271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Галузь (сектор)</w:t>
            </w:r>
          </w:p>
        </w:tc>
        <w:tc>
          <w:tcPr>
            <w:tcW w:w="1393" w:type="dxa"/>
            <w:vAlign w:val="center"/>
          </w:tcPr>
          <w:p w14:paraId="718C4351" w14:textId="6AB05195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Граничний</w:t>
            </w:r>
            <w:r w:rsidR="00B0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58D">
              <w:rPr>
                <w:rFonts w:ascii="Times New Roman" w:hAnsi="Times New Roman"/>
                <w:sz w:val="24"/>
                <w:szCs w:val="24"/>
              </w:rPr>
              <w:t>розподіл на</w:t>
            </w:r>
            <w:r w:rsidR="00B0558D" w:rsidRPr="00B0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58D">
              <w:rPr>
                <w:rFonts w:ascii="Times New Roman" w:hAnsi="Times New Roman"/>
                <w:sz w:val="24"/>
                <w:szCs w:val="24"/>
              </w:rPr>
              <w:t>2026 рік</w:t>
            </w:r>
          </w:p>
        </w:tc>
        <w:tc>
          <w:tcPr>
            <w:tcW w:w="1357" w:type="dxa"/>
            <w:vAlign w:val="center"/>
          </w:tcPr>
          <w:p w14:paraId="1A8BC86C" w14:textId="2D0CF9D3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Граничний</w:t>
            </w:r>
            <w:r w:rsidR="00B0558D" w:rsidRPr="00B0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58D">
              <w:rPr>
                <w:rFonts w:ascii="Times New Roman" w:hAnsi="Times New Roman"/>
                <w:sz w:val="24"/>
                <w:szCs w:val="24"/>
              </w:rPr>
              <w:t>розподіл на</w:t>
            </w:r>
            <w:r w:rsidR="00B0558D" w:rsidRPr="00B0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58D">
              <w:rPr>
                <w:rFonts w:ascii="Times New Roman" w:hAnsi="Times New Roman"/>
                <w:sz w:val="24"/>
                <w:szCs w:val="24"/>
              </w:rPr>
              <w:t>2027 рік</w:t>
            </w:r>
          </w:p>
        </w:tc>
        <w:tc>
          <w:tcPr>
            <w:tcW w:w="1372" w:type="dxa"/>
            <w:vAlign w:val="center"/>
          </w:tcPr>
          <w:p w14:paraId="7A05B570" w14:textId="7F5DA11B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Граничний</w:t>
            </w:r>
            <w:r w:rsidR="00B0558D" w:rsidRPr="00B0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58D">
              <w:rPr>
                <w:rFonts w:ascii="Times New Roman" w:hAnsi="Times New Roman"/>
                <w:sz w:val="24"/>
                <w:szCs w:val="24"/>
              </w:rPr>
              <w:t>розподіл на</w:t>
            </w:r>
            <w:r w:rsidR="00B0558D" w:rsidRPr="00B0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58D">
              <w:rPr>
                <w:rFonts w:ascii="Times New Roman" w:hAnsi="Times New Roman"/>
                <w:sz w:val="24"/>
                <w:szCs w:val="24"/>
              </w:rPr>
              <w:t>2028 рік</w:t>
            </w:r>
          </w:p>
        </w:tc>
        <w:tc>
          <w:tcPr>
            <w:tcW w:w="1553" w:type="dxa"/>
            <w:vAlign w:val="center"/>
          </w:tcPr>
          <w:p w14:paraId="3E96F873" w14:textId="1DA2DC04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Граничний</w:t>
            </w:r>
            <w:r w:rsidR="00B0558D" w:rsidRPr="00B0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58D">
              <w:rPr>
                <w:rFonts w:ascii="Times New Roman" w:hAnsi="Times New Roman"/>
                <w:sz w:val="24"/>
                <w:szCs w:val="24"/>
              </w:rPr>
              <w:t>розподіл на</w:t>
            </w:r>
            <w:r w:rsidR="00B0558D" w:rsidRPr="00B0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58D">
              <w:rPr>
                <w:rFonts w:ascii="Times New Roman" w:hAnsi="Times New Roman"/>
                <w:sz w:val="24"/>
                <w:szCs w:val="24"/>
              </w:rPr>
              <w:t>середньо</w:t>
            </w:r>
            <w:r w:rsidR="00B0558D" w:rsidRPr="00B0558D">
              <w:rPr>
                <w:rFonts w:ascii="Times New Roman" w:hAnsi="Times New Roman"/>
                <w:sz w:val="24"/>
                <w:szCs w:val="24"/>
              </w:rPr>
              <w:t>-</w:t>
            </w:r>
            <w:r w:rsidRPr="00B0558D">
              <w:rPr>
                <w:rFonts w:ascii="Times New Roman" w:hAnsi="Times New Roman"/>
                <w:sz w:val="24"/>
                <w:szCs w:val="24"/>
              </w:rPr>
              <w:t>строковий</w:t>
            </w:r>
            <w:r w:rsidR="00B0558D" w:rsidRPr="00B0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58D">
              <w:rPr>
                <w:rFonts w:ascii="Times New Roman" w:hAnsi="Times New Roman"/>
                <w:sz w:val="24"/>
                <w:szCs w:val="24"/>
              </w:rPr>
              <w:t>період</w:t>
            </w:r>
          </w:p>
        </w:tc>
      </w:tr>
      <w:tr w:rsidR="002024AC" w:rsidRPr="00B0558D" w14:paraId="696F2667" w14:textId="77777777" w:rsidTr="00B0558D">
        <w:tc>
          <w:tcPr>
            <w:tcW w:w="4077" w:type="dxa"/>
          </w:tcPr>
          <w:p w14:paraId="0E85EFED" w14:textId="77777777" w:rsidR="002024AC" w:rsidRPr="00B0558D" w:rsidRDefault="002024AC" w:rsidP="00B05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58D">
              <w:rPr>
                <w:rFonts w:ascii="Times New Roman" w:hAnsi="Times New Roman"/>
                <w:b/>
                <w:bCs/>
                <w:sz w:val="24"/>
                <w:szCs w:val="24"/>
              </w:rPr>
              <w:t>Освіта і наука:</w:t>
            </w:r>
          </w:p>
        </w:tc>
        <w:tc>
          <w:tcPr>
            <w:tcW w:w="1393" w:type="dxa"/>
          </w:tcPr>
          <w:p w14:paraId="4352130A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58D">
              <w:rPr>
                <w:rFonts w:ascii="Times New Roman" w:hAnsi="Times New Roman"/>
                <w:b/>
                <w:bCs/>
                <w:sz w:val="24"/>
                <w:szCs w:val="24"/>
              </w:rPr>
              <w:t>50 000</w:t>
            </w:r>
          </w:p>
        </w:tc>
        <w:tc>
          <w:tcPr>
            <w:tcW w:w="1357" w:type="dxa"/>
          </w:tcPr>
          <w:p w14:paraId="3EB14C76" w14:textId="222E6797" w:rsidR="002024AC" w:rsidRPr="00B0558D" w:rsidRDefault="008E41F9" w:rsidP="00B05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58D">
              <w:rPr>
                <w:rFonts w:ascii="Times New Roman" w:hAnsi="Times New Roman"/>
                <w:b/>
                <w:bCs/>
                <w:sz w:val="24"/>
                <w:szCs w:val="24"/>
              </w:rPr>
              <w:t>50 000</w:t>
            </w:r>
          </w:p>
        </w:tc>
        <w:tc>
          <w:tcPr>
            <w:tcW w:w="1372" w:type="dxa"/>
          </w:tcPr>
          <w:p w14:paraId="32CF1EF0" w14:textId="75402D11" w:rsidR="002024AC" w:rsidRPr="00B0558D" w:rsidRDefault="008E41F9" w:rsidP="00B05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58D">
              <w:rPr>
                <w:rFonts w:ascii="Times New Roman" w:hAnsi="Times New Roman"/>
                <w:b/>
                <w:bCs/>
                <w:sz w:val="24"/>
                <w:szCs w:val="24"/>
              </w:rPr>
              <w:t>3 881</w:t>
            </w:r>
            <w:r w:rsidR="002024AC" w:rsidRPr="00B055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553" w:type="dxa"/>
          </w:tcPr>
          <w:p w14:paraId="4EE2AF62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58D">
              <w:rPr>
                <w:rFonts w:ascii="Times New Roman" w:hAnsi="Times New Roman"/>
                <w:b/>
                <w:bCs/>
                <w:sz w:val="24"/>
                <w:szCs w:val="24"/>
              </w:rPr>
              <w:t>3 981 000</w:t>
            </w:r>
          </w:p>
        </w:tc>
      </w:tr>
      <w:tr w:rsidR="002024AC" w:rsidRPr="00B0558D" w14:paraId="034573D4" w14:textId="77777777" w:rsidTr="00B0558D">
        <w:tc>
          <w:tcPr>
            <w:tcW w:w="4077" w:type="dxa"/>
          </w:tcPr>
          <w:p w14:paraId="68213B85" w14:textId="77777777" w:rsidR="002024AC" w:rsidRPr="00B0558D" w:rsidRDefault="002024AC" w:rsidP="00B055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55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Нове будівництво овочесховища </w:t>
            </w:r>
            <w:proofErr w:type="spellStart"/>
            <w:r w:rsidRPr="00B0558D">
              <w:rPr>
                <w:rFonts w:ascii="Times New Roman" w:hAnsi="Times New Roman"/>
                <w:i/>
                <w:iCs/>
                <w:sz w:val="24"/>
                <w:szCs w:val="24"/>
              </w:rPr>
              <w:t>Цибулівського</w:t>
            </w:r>
            <w:proofErr w:type="spellEnd"/>
            <w:r w:rsidRPr="00B055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закладу дошкільної освіти "Пролісок" Дмитрівської сільської ради Кропивницького району Кіровоградської області за </w:t>
            </w:r>
            <w:proofErr w:type="spellStart"/>
            <w:r w:rsidRPr="00B0558D">
              <w:rPr>
                <w:rFonts w:ascii="Times New Roman" w:hAnsi="Times New Roman"/>
                <w:i/>
                <w:iCs/>
                <w:sz w:val="24"/>
                <w:szCs w:val="24"/>
              </w:rPr>
              <w:t>адресою</w:t>
            </w:r>
            <w:proofErr w:type="spellEnd"/>
            <w:r w:rsidRPr="00B055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27430, Україна, Кіровоградська область, Кропивницький район, село Цибулеве, вулиця Центральна, будинок 64</w:t>
            </w:r>
          </w:p>
        </w:tc>
        <w:tc>
          <w:tcPr>
            <w:tcW w:w="1393" w:type="dxa"/>
          </w:tcPr>
          <w:p w14:paraId="5DF5520E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2759BCC7" w14:textId="6948DCC7" w:rsidR="002024AC" w:rsidRPr="00B0558D" w:rsidRDefault="008E41F9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38ABE207" w14:textId="60DEE9ED" w:rsidR="002024AC" w:rsidRPr="00B0558D" w:rsidRDefault="008E41F9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1 648 000</w:t>
            </w:r>
          </w:p>
        </w:tc>
        <w:tc>
          <w:tcPr>
            <w:tcW w:w="1553" w:type="dxa"/>
          </w:tcPr>
          <w:p w14:paraId="350B082D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1 648 000</w:t>
            </w:r>
          </w:p>
        </w:tc>
      </w:tr>
      <w:tr w:rsidR="002024AC" w:rsidRPr="00B0558D" w14:paraId="5940BD34" w14:textId="77777777" w:rsidTr="00B0558D">
        <w:tc>
          <w:tcPr>
            <w:tcW w:w="4077" w:type="dxa"/>
          </w:tcPr>
          <w:p w14:paraId="1A793873" w14:textId="77777777" w:rsidR="002024AC" w:rsidRPr="00B0558D" w:rsidRDefault="002024AC" w:rsidP="00B055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55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"Капітальний ремонт майстерні Дмитрівського ліцею ім. </w:t>
            </w:r>
          </w:p>
          <w:p w14:paraId="3777629B" w14:textId="77777777" w:rsidR="002024AC" w:rsidRPr="00B0558D" w:rsidRDefault="002024AC" w:rsidP="00B055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55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Т.Г. Шевченка Дмитрівської сільської ради Кропивницького району Кіровоградської області за </w:t>
            </w:r>
            <w:proofErr w:type="spellStart"/>
            <w:r w:rsidRPr="00B0558D">
              <w:rPr>
                <w:rFonts w:ascii="Times New Roman" w:hAnsi="Times New Roman"/>
                <w:i/>
                <w:iCs/>
                <w:sz w:val="24"/>
                <w:szCs w:val="24"/>
              </w:rPr>
              <w:t>адресою</w:t>
            </w:r>
            <w:proofErr w:type="spellEnd"/>
            <w:r w:rsidRPr="00B0558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27422, Україна, Кіровоградська область, Кропивницький район, село </w:t>
            </w:r>
            <w:proofErr w:type="spellStart"/>
            <w:r w:rsidRPr="00B0558D">
              <w:rPr>
                <w:rFonts w:ascii="Times New Roman" w:hAnsi="Times New Roman"/>
                <w:i/>
                <w:iCs/>
                <w:sz w:val="24"/>
                <w:szCs w:val="24"/>
              </w:rPr>
              <w:t>Дмитрівка</w:t>
            </w:r>
            <w:proofErr w:type="spellEnd"/>
            <w:r w:rsidRPr="00B0558D">
              <w:rPr>
                <w:rFonts w:ascii="Times New Roman" w:hAnsi="Times New Roman"/>
                <w:i/>
                <w:iCs/>
                <w:sz w:val="24"/>
                <w:szCs w:val="24"/>
              </w:rPr>
              <w:t>, вулиця Поштова, будинок 10"</w:t>
            </w:r>
          </w:p>
        </w:tc>
        <w:tc>
          <w:tcPr>
            <w:tcW w:w="1393" w:type="dxa"/>
          </w:tcPr>
          <w:p w14:paraId="7A0EA215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1E6CEE4D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53FEBE63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2 233 000</w:t>
            </w:r>
          </w:p>
        </w:tc>
        <w:tc>
          <w:tcPr>
            <w:tcW w:w="1553" w:type="dxa"/>
          </w:tcPr>
          <w:p w14:paraId="6EDAC191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2 233 000</w:t>
            </w:r>
          </w:p>
        </w:tc>
      </w:tr>
      <w:tr w:rsidR="002024AC" w:rsidRPr="00B0558D" w14:paraId="25FEF924" w14:textId="77777777" w:rsidTr="00B0558D">
        <w:tc>
          <w:tcPr>
            <w:tcW w:w="4077" w:type="dxa"/>
          </w:tcPr>
          <w:p w14:paraId="23A75287" w14:textId="77777777" w:rsidR="002024AC" w:rsidRPr="00B0558D" w:rsidRDefault="002024AC" w:rsidP="00B055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558D">
              <w:rPr>
                <w:rFonts w:ascii="Times New Roman" w:hAnsi="Times New Roman"/>
                <w:i/>
                <w:iCs/>
                <w:sz w:val="24"/>
                <w:szCs w:val="24"/>
              </w:rPr>
              <w:t>Забезпечення закладів ЗСО засобами навчання і обладнанням в межах впровадження реформи Нова українська школа</w:t>
            </w:r>
          </w:p>
        </w:tc>
        <w:tc>
          <w:tcPr>
            <w:tcW w:w="1393" w:type="dxa"/>
          </w:tcPr>
          <w:p w14:paraId="6515C854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1357" w:type="dxa"/>
          </w:tcPr>
          <w:p w14:paraId="0FB31CB4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1372" w:type="dxa"/>
          </w:tcPr>
          <w:p w14:paraId="6560E53A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5146D8FB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2024AC" w:rsidRPr="00B0558D" w14:paraId="5042FE93" w14:textId="77777777" w:rsidTr="00B0558D">
        <w:tc>
          <w:tcPr>
            <w:tcW w:w="4077" w:type="dxa"/>
          </w:tcPr>
          <w:p w14:paraId="41A89965" w14:textId="77777777" w:rsidR="002024AC" w:rsidRPr="00B0558D" w:rsidRDefault="002024AC" w:rsidP="00B05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58D">
              <w:rPr>
                <w:rFonts w:ascii="Times New Roman" w:hAnsi="Times New Roman"/>
                <w:b/>
                <w:bCs/>
                <w:sz w:val="24"/>
                <w:szCs w:val="24"/>
              </w:rPr>
              <w:t>Муніципальна інфраструктура та послуги</w:t>
            </w:r>
          </w:p>
        </w:tc>
        <w:tc>
          <w:tcPr>
            <w:tcW w:w="1393" w:type="dxa"/>
          </w:tcPr>
          <w:p w14:paraId="7C117DD2" w14:textId="1986D27D" w:rsidR="002024AC" w:rsidRPr="008E574E" w:rsidRDefault="008E574E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74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57" w:type="dxa"/>
          </w:tcPr>
          <w:p w14:paraId="4614E217" w14:textId="411D3506" w:rsidR="002024AC" w:rsidRPr="008E574E" w:rsidRDefault="008E574E" w:rsidP="00B05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2 931 000</w:t>
            </w:r>
          </w:p>
        </w:tc>
        <w:tc>
          <w:tcPr>
            <w:tcW w:w="1372" w:type="dxa"/>
          </w:tcPr>
          <w:p w14:paraId="2A326F7D" w14:textId="72A670A1" w:rsidR="002024AC" w:rsidRPr="00B0558D" w:rsidRDefault="008E41F9" w:rsidP="00B05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58D">
              <w:rPr>
                <w:rFonts w:ascii="Times New Roman" w:hAnsi="Times New Roman"/>
                <w:b/>
                <w:bCs/>
                <w:sz w:val="24"/>
                <w:szCs w:val="24"/>
              </w:rPr>
              <w:t>1 319 000</w:t>
            </w:r>
          </w:p>
        </w:tc>
        <w:tc>
          <w:tcPr>
            <w:tcW w:w="1553" w:type="dxa"/>
          </w:tcPr>
          <w:p w14:paraId="6BEBCDCC" w14:textId="4AFEBCB5" w:rsidR="002024AC" w:rsidRPr="00B0558D" w:rsidRDefault="008E574E" w:rsidP="00B05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4 250</w:t>
            </w:r>
            <w:r w:rsidR="008E41F9" w:rsidRPr="00B055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2024AC" w:rsidRPr="00B0558D" w14:paraId="28BECBB5" w14:textId="77777777" w:rsidTr="00B0558D">
        <w:tc>
          <w:tcPr>
            <w:tcW w:w="4077" w:type="dxa"/>
          </w:tcPr>
          <w:p w14:paraId="352D23CC" w14:textId="77777777" w:rsidR="002024AC" w:rsidRPr="00206294" w:rsidRDefault="002024AC" w:rsidP="00B055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62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Відновлення елементів благоустрою (капітальний ремонт) пішохідної алеї в центральній частині села по </w:t>
            </w:r>
            <w:proofErr w:type="spellStart"/>
            <w:r w:rsidRPr="00206294">
              <w:rPr>
                <w:rFonts w:ascii="Times New Roman" w:hAnsi="Times New Roman"/>
                <w:i/>
                <w:iCs/>
                <w:sz w:val="24"/>
                <w:szCs w:val="24"/>
              </w:rPr>
              <w:t>пл.Перемоги</w:t>
            </w:r>
            <w:proofErr w:type="spellEnd"/>
            <w:r w:rsidRPr="002062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між </w:t>
            </w:r>
            <w:proofErr w:type="spellStart"/>
            <w:r w:rsidRPr="00206294">
              <w:rPr>
                <w:rFonts w:ascii="Times New Roman" w:hAnsi="Times New Roman"/>
                <w:i/>
                <w:iCs/>
                <w:sz w:val="24"/>
                <w:szCs w:val="24"/>
              </w:rPr>
              <w:t>вул.Поштова</w:t>
            </w:r>
            <w:proofErr w:type="spellEnd"/>
            <w:r w:rsidRPr="002062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та </w:t>
            </w:r>
            <w:proofErr w:type="spellStart"/>
            <w:r w:rsidRPr="00206294">
              <w:rPr>
                <w:rFonts w:ascii="Times New Roman" w:hAnsi="Times New Roman"/>
                <w:i/>
                <w:iCs/>
                <w:sz w:val="24"/>
                <w:szCs w:val="24"/>
              </w:rPr>
              <w:t>вул.Нечаєва</w:t>
            </w:r>
            <w:proofErr w:type="spellEnd"/>
            <w:r w:rsidRPr="002062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в </w:t>
            </w:r>
            <w:proofErr w:type="spellStart"/>
            <w:r w:rsidRPr="00206294">
              <w:rPr>
                <w:rFonts w:ascii="Times New Roman" w:hAnsi="Times New Roman"/>
                <w:i/>
                <w:iCs/>
                <w:sz w:val="24"/>
                <w:szCs w:val="24"/>
              </w:rPr>
              <w:t>с.Дмитрівка</w:t>
            </w:r>
            <w:proofErr w:type="spellEnd"/>
            <w:r w:rsidRPr="002062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Кропивницького району Кіровоградської області</w:t>
            </w:r>
          </w:p>
        </w:tc>
        <w:tc>
          <w:tcPr>
            <w:tcW w:w="1393" w:type="dxa"/>
          </w:tcPr>
          <w:p w14:paraId="1FC30D26" w14:textId="35443F2B" w:rsidR="002024AC" w:rsidRPr="00B0558D" w:rsidRDefault="008E41F9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18DC1B96" w14:textId="1F9DCB49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2 </w:t>
            </w:r>
            <w:r w:rsidR="008E41F9" w:rsidRPr="00B0558D">
              <w:rPr>
                <w:rFonts w:ascii="Times New Roman" w:hAnsi="Times New Roman"/>
                <w:sz w:val="24"/>
                <w:szCs w:val="24"/>
              </w:rPr>
              <w:t>931</w:t>
            </w:r>
            <w:r w:rsidRPr="00B0558D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372" w:type="dxa"/>
          </w:tcPr>
          <w:p w14:paraId="4F1B067C" w14:textId="6F6FF72E" w:rsidR="002024AC" w:rsidRPr="00B0558D" w:rsidRDefault="008E41F9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1 319 000</w:t>
            </w:r>
          </w:p>
        </w:tc>
        <w:tc>
          <w:tcPr>
            <w:tcW w:w="1553" w:type="dxa"/>
          </w:tcPr>
          <w:p w14:paraId="5AD49757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4 250 000</w:t>
            </w:r>
          </w:p>
        </w:tc>
      </w:tr>
      <w:tr w:rsidR="008E574E" w:rsidRPr="00B0558D" w14:paraId="7862D0CC" w14:textId="77777777" w:rsidTr="00B0558D">
        <w:tc>
          <w:tcPr>
            <w:tcW w:w="4077" w:type="dxa"/>
          </w:tcPr>
          <w:p w14:paraId="3E0485D5" w14:textId="5C461771" w:rsidR="008E574E" w:rsidRPr="008E574E" w:rsidRDefault="008E574E" w:rsidP="00B055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Соціальна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сфера</w:t>
            </w:r>
          </w:p>
        </w:tc>
        <w:tc>
          <w:tcPr>
            <w:tcW w:w="1393" w:type="dxa"/>
          </w:tcPr>
          <w:p w14:paraId="4E8F0369" w14:textId="19A0EAFE" w:rsidR="008E574E" w:rsidRPr="008E574E" w:rsidRDefault="008E574E" w:rsidP="00B05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E574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3 950 000</w:t>
            </w:r>
          </w:p>
        </w:tc>
        <w:tc>
          <w:tcPr>
            <w:tcW w:w="1357" w:type="dxa"/>
          </w:tcPr>
          <w:p w14:paraId="5F82B47A" w14:textId="4D554FB3" w:rsidR="008E574E" w:rsidRPr="008E574E" w:rsidRDefault="008E574E" w:rsidP="00B05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E574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1 619 000</w:t>
            </w:r>
          </w:p>
        </w:tc>
        <w:tc>
          <w:tcPr>
            <w:tcW w:w="1372" w:type="dxa"/>
          </w:tcPr>
          <w:p w14:paraId="3452844A" w14:textId="5CDF693B" w:rsidR="008E574E" w:rsidRPr="008E574E" w:rsidRDefault="008E574E" w:rsidP="00B05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553" w:type="dxa"/>
          </w:tcPr>
          <w:p w14:paraId="5CA9C7CC" w14:textId="70820687" w:rsidR="008E574E" w:rsidRPr="008E574E" w:rsidRDefault="008E574E" w:rsidP="00B05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5 569 000</w:t>
            </w:r>
          </w:p>
        </w:tc>
      </w:tr>
      <w:tr w:rsidR="002024AC" w:rsidRPr="00B0558D" w14:paraId="113B2F87" w14:textId="77777777" w:rsidTr="00B0558D">
        <w:tc>
          <w:tcPr>
            <w:tcW w:w="4077" w:type="dxa"/>
          </w:tcPr>
          <w:p w14:paraId="6F346A04" w14:textId="0939E8C3" w:rsidR="002024AC" w:rsidRPr="00206294" w:rsidRDefault="002024AC" w:rsidP="00B055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62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Капітальний ремонт нежитлового приміщення </w:t>
            </w:r>
            <w:r w:rsidR="00B0558D" w:rsidRPr="002062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 </w:t>
            </w:r>
            <w:proofErr w:type="spellStart"/>
            <w:r w:rsidR="00B0558D" w:rsidRPr="00206294">
              <w:rPr>
                <w:rFonts w:ascii="Times New Roman" w:hAnsi="Times New Roman"/>
                <w:i/>
                <w:iCs/>
                <w:sz w:val="24"/>
                <w:szCs w:val="24"/>
              </w:rPr>
              <w:t>адресою</w:t>
            </w:r>
            <w:proofErr w:type="spellEnd"/>
            <w:r w:rsidR="00B0558D" w:rsidRPr="002062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площа Перемоги 18, </w:t>
            </w:r>
            <w:proofErr w:type="spellStart"/>
            <w:r w:rsidRPr="00206294">
              <w:rPr>
                <w:rFonts w:ascii="Times New Roman" w:hAnsi="Times New Roman"/>
                <w:i/>
                <w:iCs/>
                <w:sz w:val="24"/>
                <w:szCs w:val="24"/>
              </w:rPr>
              <w:t>с.Дмитрівка</w:t>
            </w:r>
            <w:proofErr w:type="spellEnd"/>
            <w:r w:rsidRPr="002062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Кропивницького району Кіровоградської області</w:t>
            </w:r>
          </w:p>
        </w:tc>
        <w:tc>
          <w:tcPr>
            <w:tcW w:w="1393" w:type="dxa"/>
          </w:tcPr>
          <w:p w14:paraId="48D4063A" w14:textId="4C8140A0" w:rsidR="002024AC" w:rsidRPr="00B0558D" w:rsidRDefault="007E0736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3</w:t>
            </w:r>
            <w:r w:rsidR="002024AC" w:rsidRPr="00B0558D">
              <w:rPr>
                <w:rFonts w:ascii="Times New Roman" w:hAnsi="Times New Roman"/>
                <w:sz w:val="24"/>
                <w:szCs w:val="24"/>
              </w:rPr>
              <w:t xml:space="preserve"> 950 000</w:t>
            </w:r>
          </w:p>
        </w:tc>
        <w:tc>
          <w:tcPr>
            <w:tcW w:w="1357" w:type="dxa"/>
          </w:tcPr>
          <w:p w14:paraId="08FFB2C5" w14:textId="3DFD8D2B" w:rsidR="002024AC" w:rsidRPr="00B0558D" w:rsidRDefault="007E0736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1 619</w:t>
            </w:r>
            <w:r w:rsidR="002024AC" w:rsidRPr="00B0558D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372" w:type="dxa"/>
          </w:tcPr>
          <w:p w14:paraId="5479DEEC" w14:textId="52A76895" w:rsidR="002024AC" w:rsidRPr="00B0558D" w:rsidRDefault="007E0736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6269D5C7" w14:textId="77777777" w:rsidR="002024AC" w:rsidRPr="00B0558D" w:rsidRDefault="002024AC" w:rsidP="00B0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58D">
              <w:rPr>
                <w:rFonts w:ascii="Times New Roman" w:hAnsi="Times New Roman"/>
                <w:sz w:val="24"/>
                <w:szCs w:val="24"/>
              </w:rPr>
              <w:t>5 569 000</w:t>
            </w:r>
          </w:p>
        </w:tc>
      </w:tr>
    </w:tbl>
    <w:p w14:paraId="269B07AA" w14:textId="77777777" w:rsidR="002024AC" w:rsidRPr="00B0558D" w:rsidRDefault="002024AC" w:rsidP="00B0558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1C4927E" w14:textId="77777777" w:rsidR="002E7B24" w:rsidRDefault="002E7B24" w:rsidP="00B0558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701E999" w14:textId="77777777" w:rsidR="002E7B24" w:rsidRDefault="002E7B24" w:rsidP="00B0558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481D263" w14:textId="3D34A099" w:rsidR="002024AC" w:rsidRPr="00B0558D" w:rsidRDefault="002024AC" w:rsidP="002E7B2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58D">
        <w:rPr>
          <w:rFonts w:ascii="Times New Roman" w:hAnsi="Times New Roman"/>
          <w:b/>
          <w:bCs/>
          <w:sz w:val="28"/>
          <w:szCs w:val="28"/>
        </w:rPr>
        <w:lastRenderedPageBreak/>
        <w:t>Підсумки та перспективи</w:t>
      </w:r>
    </w:p>
    <w:p w14:paraId="2370DA56" w14:textId="77777777" w:rsidR="002024AC" w:rsidRPr="00B0558D" w:rsidRDefault="002024AC" w:rsidP="00B055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>Середньостроковий план є документом національного рівня, що формує основу для якісно нового підходу до управління публічними інвестиціями в громаді.</w:t>
      </w:r>
    </w:p>
    <w:p w14:paraId="3B74DBD3" w14:textId="77777777" w:rsidR="002024AC" w:rsidRPr="00B0558D" w:rsidRDefault="002024AC" w:rsidP="00B055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 xml:space="preserve">Визначення наскрізних стратегічних цілей, узгодження з наявними стратегічними документами, продовження та завершення розпочатих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і програм, а також закріплення пріоритетних галузей (секторів) і основних напрямів публічного інвестування забезпечують спрямування ресурсів на реалізацію ключових пріоритетів розвитку громади. Це сприятиме ефективному використанню як попередньо вкладених, так і поточних публічних інвестицій, а також створить чітке розуміння пріоритетних сфер, що потребують державної підтримки у середньостроковому періоді.</w:t>
      </w:r>
    </w:p>
    <w:p w14:paraId="0D220B8A" w14:textId="312D0131" w:rsidR="002024AC" w:rsidRPr="00B0558D" w:rsidRDefault="002024AC" w:rsidP="00B055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 xml:space="preserve">Визначення напрямів публічного інвестування відповідних галузей (секторів) для публічного інвестування має ключове значення для подальшої підготовки, оцінки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та програм, а також формування єдиного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проєктного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портфеля публічних інвестицій Дмитрівської громади.</w:t>
      </w:r>
    </w:p>
    <w:p w14:paraId="6E217776" w14:textId="77777777" w:rsidR="002024AC" w:rsidRPr="00B0558D" w:rsidRDefault="002024AC" w:rsidP="00B055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 xml:space="preserve">Підготовка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та програм передбачає обов’язкове визначення напряму публічного інвестування у відповідній галузі (секторі), з яким пов’язаний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чи програма, а також узгодження мети та цілей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проєкту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з таким напрямом.</w:t>
      </w:r>
    </w:p>
    <w:p w14:paraId="14F0CAE7" w14:textId="77777777" w:rsidR="002024AC" w:rsidRPr="00B0558D" w:rsidRDefault="002024AC" w:rsidP="00B055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 xml:space="preserve">Оцінка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та програм включає оцінку відповідності (скринінг), галузеву (секторальну) експертну оцінку та експертну оцінку, що передбачає аналіз ряду показників, пов’язаних із напрямами публічного інвестування відповідних галузей (секторів).</w:t>
      </w:r>
    </w:p>
    <w:p w14:paraId="74A4BC15" w14:textId="6411528E" w:rsidR="002024AC" w:rsidRPr="00B0558D" w:rsidRDefault="002024AC" w:rsidP="00B055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 xml:space="preserve">Без визначення напрямів для публічного інвестування неможлива </w:t>
      </w:r>
      <w:proofErr w:type="spellStart"/>
      <w:r w:rsidRPr="00B0558D">
        <w:rPr>
          <w:rFonts w:ascii="Times New Roman" w:hAnsi="Times New Roman"/>
          <w:sz w:val="28"/>
          <w:szCs w:val="28"/>
        </w:rPr>
        <w:t>пріоритезація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, які включені до галузевого (секторального)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проєктного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портфеля. </w:t>
      </w:r>
      <w:proofErr w:type="spellStart"/>
      <w:r w:rsidRPr="00B0558D">
        <w:rPr>
          <w:rFonts w:ascii="Times New Roman" w:hAnsi="Times New Roman"/>
          <w:sz w:val="28"/>
          <w:szCs w:val="28"/>
        </w:rPr>
        <w:t>Пріоритезація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здійснюється в межах напряму відповідно до критеріїв </w:t>
      </w:r>
      <w:proofErr w:type="spellStart"/>
      <w:r w:rsidRPr="00B0558D">
        <w:rPr>
          <w:rFonts w:ascii="Times New Roman" w:hAnsi="Times New Roman"/>
          <w:sz w:val="28"/>
          <w:szCs w:val="28"/>
        </w:rPr>
        <w:t>пріоритезації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, визначених </w:t>
      </w:r>
      <w:r w:rsidR="007E0736" w:rsidRPr="00B0558D">
        <w:rPr>
          <w:rFonts w:ascii="Times New Roman" w:hAnsi="Times New Roman"/>
          <w:sz w:val="28"/>
          <w:szCs w:val="28"/>
        </w:rPr>
        <w:t>Місцевою інвестиційною радою</w:t>
      </w:r>
      <w:r w:rsidRPr="00B0558D">
        <w:rPr>
          <w:rFonts w:ascii="Times New Roman" w:hAnsi="Times New Roman"/>
          <w:sz w:val="28"/>
          <w:szCs w:val="28"/>
        </w:rPr>
        <w:t xml:space="preserve">, та передбачає розрахунок пріоритетності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за бальною системою з метою формування рейтингових списків таких проектів за кожним напрямом публічного інвестування.</w:t>
      </w:r>
    </w:p>
    <w:p w14:paraId="6ED06C5C" w14:textId="77777777" w:rsidR="002024AC" w:rsidRPr="00B0558D" w:rsidRDefault="002024AC" w:rsidP="00B055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 xml:space="preserve">В подальшому лише ті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проєкти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та програми, що включені до галузевого</w:t>
      </w:r>
    </w:p>
    <w:p w14:paraId="4CD9F3A4" w14:textId="51AACB03" w:rsidR="002024AC" w:rsidRPr="00B0558D" w:rsidRDefault="002024AC" w:rsidP="00B05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 xml:space="preserve">(секторального)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проєктного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портфеля та відповідають основним напрямам публічного інвестування, визначеним в Додатку 1 до середньострокового плану, </w:t>
      </w:r>
      <w:bookmarkStart w:id="2" w:name="_Hlk208241811"/>
      <w:r w:rsidRPr="00B0558D">
        <w:rPr>
          <w:rFonts w:ascii="Times New Roman" w:hAnsi="Times New Roman"/>
          <w:sz w:val="28"/>
          <w:szCs w:val="28"/>
        </w:rPr>
        <w:t xml:space="preserve">можуть бути включені в Єдиний </w:t>
      </w:r>
      <w:proofErr w:type="spellStart"/>
      <w:r w:rsidRPr="00B0558D">
        <w:rPr>
          <w:rFonts w:ascii="Times New Roman" w:hAnsi="Times New Roman"/>
          <w:sz w:val="28"/>
          <w:szCs w:val="28"/>
        </w:rPr>
        <w:t>проєктний</w:t>
      </w:r>
      <w:proofErr w:type="spellEnd"/>
      <w:r w:rsidRPr="00B0558D">
        <w:rPr>
          <w:rFonts w:ascii="Times New Roman" w:hAnsi="Times New Roman"/>
          <w:sz w:val="28"/>
          <w:szCs w:val="28"/>
        </w:rPr>
        <w:t xml:space="preserve"> портфель публічних інвестицій та, відповідно, зможуть отримати фінансування</w:t>
      </w:r>
      <w:r w:rsidR="007E0736" w:rsidRPr="00B0558D">
        <w:rPr>
          <w:rFonts w:ascii="Times New Roman" w:hAnsi="Times New Roman"/>
          <w:sz w:val="28"/>
          <w:szCs w:val="28"/>
        </w:rPr>
        <w:t xml:space="preserve"> </w:t>
      </w:r>
      <w:r w:rsidRPr="00B0558D">
        <w:rPr>
          <w:rFonts w:ascii="Times New Roman" w:hAnsi="Times New Roman"/>
          <w:sz w:val="28"/>
          <w:szCs w:val="28"/>
        </w:rPr>
        <w:t xml:space="preserve"> за рахунок коштів </w:t>
      </w:r>
      <w:r w:rsidR="00B0558D" w:rsidRPr="00B0558D">
        <w:rPr>
          <w:rFonts w:ascii="Times New Roman" w:hAnsi="Times New Roman"/>
          <w:sz w:val="28"/>
          <w:szCs w:val="28"/>
        </w:rPr>
        <w:t xml:space="preserve">місцевого </w:t>
      </w:r>
      <w:r w:rsidR="007E0736" w:rsidRPr="00B0558D">
        <w:rPr>
          <w:rFonts w:ascii="Times New Roman" w:hAnsi="Times New Roman"/>
          <w:sz w:val="28"/>
          <w:szCs w:val="28"/>
        </w:rPr>
        <w:t xml:space="preserve">або </w:t>
      </w:r>
      <w:r w:rsidRPr="00B0558D">
        <w:rPr>
          <w:rFonts w:ascii="Times New Roman" w:hAnsi="Times New Roman"/>
          <w:sz w:val="28"/>
          <w:szCs w:val="28"/>
        </w:rPr>
        <w:t>державного бюджет</w:t>
      </w:r>
      <w:r w:rsidR="007E0736" w:rsidRPr="00B0558D">
        <w:rPr>
          <w:rFonts w:ascii="Times New Roman" w:hAnsi="Times New Roman"/>
          <w:sz w:val="28"/>
          <w:szCs w:val="28"/>
        </w:rPr>
        <w:t>у</w:t>
      </w:r>
      <w:r w:rsidRPr="00B0558D">
        <w:rPr>
          <w:rFonts w:ascii="Times New Roman" w:hAnsi="Times New Roman"/>
          <w:sz w:val="28"/>
          <w:szCs w:val="28"/>
        </w:rPr>
        <w:t>.</w:t>
      </w:r>
    </w:p>
    <w:bookmarkEnd w:id="2"/>
    <w:p w14:paraId="1389B19D" w14:textId="77777777" w:rsidR="002024AC" w:rsidRPr="00B0558D" w:rsidRDefault="002024AC" w:rsidP="00B0558D">
      <w:pPr>
        <w:spacing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14:paraId="6718ADF7" w14:textId="77777777" w:rsidR="002024AC" w:rsidRPr="00B0558D" w:rsidRDefault="002024AC" w:rsidP="00B0558D">
      <w:pPr>
        <w:spacing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B0558D">
        <w:rPr>
          <w:rFonts w:ascii="Times New Roman" w:hAnsi="Times New Roman"/>
          <w:sz w:val="28"/>
          <w:szCs w:val="28"/>
        </w:rPr>
        <w:t>____________________________________</w:t>
      </w:r>
    </w:p>
    <w:p w14:paraId="38D6C7F4" w14:textId="77777777" w:rsidR="002024AC" w:rsidRPr="00B0558D" w:rsidRDefault="002024AC" w:rsidP="00B0558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024AC" w:rsidRPr="00B0558D" w:rsidSect="00B0558D">
      <w:headerReference w:type="even" r:id="rId6"/>
      <w:head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EEDA6" w14:textId="77777777" w:rsidR="003164B3" w:rsidRDefault="003164B3">
      <w:r>
        <w:separator/>
      </w:r>
    </w:p>
  </w:endnote>
  <w:endnote w:type="continuationSeparator" w:id="0">
    <w:p w14:paraId="1EE45963" w14:textId="77777777" w:rsidR="003164B3" w:rsidRDefault="003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F42A9" w14:textId="77777777" w:rsidR="003164B3" w:rsidRDefault="003164B3">
      <w:r>
        <w:separator/>
      </w:r>
    </w:p>
  </w:footnote>
  <w:footnote w:type="continuationSeparator" w:id="0">
    <w:p w14:paraId="04A9DE98" w14:textId="77777777" w:rsidR="003164B3" w:rsidRDefault="0031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83D3" w14:textId="77777777" w:rsidR="002024AC" w:rsidRDefault="002024AC" w:rsidP="00153A2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FE5FD23" w14:textId="77777777" w:rsidR="002024AC" w:rsidRDefault="002024A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56597" w14:textId="77777777" w:rsidR="002024AC" w:rsidRPr="00B0558D" w:rsidRDefault="002024AC" w:rsidP="00153A2A">
    <w:pPr>
      <w:pStyle w:val="ad"/>
      <w:framePr w:wrap="around" w:vAnchor="text" w:hAnchor="margin" w:xAlign="center" w:y="1"/>
      <w:rPr>
        <w:rStyle w:val="af"/>
        <w:rFonts w:ascii="Times New Roman" w:hAnsi="Times New Roman"/>
        <w:sz w:val="24"/>
        <w:szCs w:val="24"/>
      </w:rPr>
    </w:pPr>
    <w:r w:rsidRPr="00B0558D">
      <w:rPr>
        <w:rStyle w:val="af"/>
        <w:rFonts w:ascii="Times New Roman" w:hAnsi="Times New Roman"/>
        <w:sz w:val="24"/>
        <w:szCs w:val="24"/>
      </w:rPr>
      <w:fldChar w:fldCharType="begin"/>
    </w:r>
    <w:r w:rsidRPr="00B0558D">
      <w:rPr>
        <w:rStyle w:val="af"/>
        <w:rFonts w:ascii="Times New Roman" w:hAnsi="Times New Roman"/>
        <w:sz w:val="24"/>
        <w:szCs w:val="24"/>
      </w:rPr>
      <w:instrText xml:space="preserve">PAGE  </w:instrText>
    </w:r>
    <w:r w:rsidRPr="00B0558D">
      <w:rPr>
        <w:rStyle w:val="af"/>
        <w:rFonts w:ascii="Times New Roman" w:hAnsi="Times New Roman"/>
        <w:sz w:val="24"/>
        <w:szCs w:val="24"/>
      </w:rPr>
      <w:fldChar w:fldCharType="separate"/>
    </w:r>
    <w:r w:rsidR="000F10FC">
      <w:rPr>
        <w:rStyle w:val="af"/>
        <w:rFonts w:ascii="Times New Roman" w:hAnsi="Times New Roman"/>
        <w:noProof/>
        <w:sz w:val="24"/>
        <w:szCs w:val="24"/>
      </w:rPr>
      <w:t>4</w:t>
    </w:r>
    <w:r w:rsidRPr="00B0558D">
      <w:rPr>
        <w:rStyle w:val="af"/>
        <w:rFonts w:ascii="Times New Roman" w:hAnsi="Times New Roman"/>
        <w:sz w:val="24"/>
        <w:szCs w:val="24"/>
      </w:rPr>
      <w:fldChar w:fldCharType="end"/>
    </w:r>
  </w:p>
  <w:p w14:paraId="06973763" w14:textId="77777777" w:rsidR="002024AC" w:rsidRDefault="002024A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D7"/>
    <w:rsid w:val="000331B9"/>
    <w:rsid w:val="00033A84"/>
    <w:rsid w:val="00050023"/>
    <w:rsid w:val="000F10FC"/>
    <w:rsid w:val="00117058"/>
    <w:rsid w:val="00153A2A"/>
    <w:rsid w:val="00176716"/>
    <w:rsid w:val="001768DF"/>
    <w:rsid w:val="001B11D4"/>
    <w:rsid w:val="001F4B13"/>
    <w:rsid w:val="002024AC"/>
    <w:rsid w:val="00206294"/>
    <w:rsid w:val="00225B7B"/>
    <w:rsid w:val="0026511B"/>
    <w:rsid w:val="002909E8"/>
    <w:rsid w:val="002E7B24"/>
    <w:rsid w:val="003164B3"/>
    <w:rsid w:val="003722E4"/>
    <w:rsid w:val="003D6C2A"/>
    <w:rsid w:val="00423CF7"/>
    <w:rsid w:val="00482C77"/>
    <w:rsid w:val="004936CC"/>
    <w:rsid w:val="004E0FB0"/>
    <w:rsid w:val="00545A4C"/>
    <w:rsid w:val="00566EA4"/>
    <w:rsid w:val="0068357C"/>
    <w:rsid w:val="00775E85"/>
    <w:rsid w:val="007E0736"/>
    <w:rsid w:val="008377D7"/>
    <w:rsid w:val="008D2597"/>
    <w:rsid w:val="008E41F9"/>
    <w:rsid w:val="008E574E"/>
    <w:rsid w:val="00920EB9"/>
    <w:rsid w:val="00956F65"/>
    <w:rsid w:val="009C5B06"/>
    <w:rsid w:val="009E4711"/>
    <w:rsid w:val="009F5F66"/>
    <w:rsid w:val="00A11AEB"/>
    <w:rsid w:val="00A749E1"/>
    <w:rsid w:val="00A90ABC"/>
    <w:rsid w:val="00AC5C5D"/>
    <w:rsid w:val="00AF47BD"/>
    <w:rsid w:val="00AF5143"/>
    <w:rsid w:val="00B0558D"/>
    <w:rsid w:val="00BC2272"/>
    <w:rsid w:val="00BC2AB2"/>
    <w:rsid w:val="00C4445E"/>
    <w:rsid w:val="00CB2685"/>
    <w:rsid w:val="00CE6273"/>
    <w:rsid w:val="00D1205C"/>
    <w:rsid w:val="00D544B8"/>
    <w:rsid w:val="00DF5DDD"/>
    <w:rsid w:val="00E45DB3"/>
    <w:rsid w:val="00E521B3"/>
    <w:rsid w:val="00F169EB"/>
    <w:rsid w:val="00F2289C"/>
    <w:rsid w:val="00F53EDF"/>
    <w:rsid w:val="00F60F4E"/>
    <w:rsid w:val="00F72AEA"/>
    <w:rsid w:val="00F83D64"/>
    <w:rsid w:val="00FC0F80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9B673"/>
  <w15:docId w15:val="{9A09E66B-69BC-4BD7-9D68-DE3EEF78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89C"/>
    <w:pPr>
      <w:spacing w:after="160" w:line="259" w:lineRule="auto"/>
    </w:pPr>
    <w:rPr>
      <w:kern w:val="2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8377D7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8377D7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377D7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77D7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8377D7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8377D7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8377D7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8377D7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8377D7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77D7"/>
    <w:rPr>
      <w:rFonts w:ascii="Calibri Light" w:hAnsi="Calibri Light" w:cs="Times New Roman"/>
      <w:color w:val="2F5496"/>
      <w:sz w:val="40"/>
      <w:szCs w:val="40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8377D7"/>
    <w:rPr>
      <w:rFonts w:ascii="Calibri Light" w:hAnsi="Calibri Light" w:cs="Times New Roman"/>
      <w:color w:val="2F5496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8377D7"/>
    <w:rPr>
      <w:rFonts w:eastAsia="Times New Roman" w:cs="Times New Roman"/>
      <w:color w:val="2F5496"/>
      <w:sz w:val="28"/>
      <w:szCs w:val="28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8377D7"/>
    <w:rPr>
      <w:rFonts w:eastAsia="Times New Roman" w:cs="Times New Roman"/>
      <w:i/>
      <w:iCs/>
      <w:color w:val="2F5496"/>
      <w:lang w:val="uk-UA"/>
    </w:rPr>
  </w:style>
  <w:style w:type="character" w:customStyle="1" w:styleId="50">
    <w:name w:val="Заголовок 5 Знак"/>
    <w:link w:val="5"/>
    <w:uiPriority w:val="99"/>
    <w:semiHidden/>
    <w:locked/>
    <w:rsid w:val="008377D7"/>
    <w:rPr>
      <w:rFonts w:eastAsia="Times New Roman" w:cs="Times New Roman"/>
      <w:color w:val="2F5496"/>
      <w:lang w:val="uk-UA"/>
    </w:rPr>
  </w:style>
  <w:style w:type="character" w:customStyle="1" w:styleId="60">
    <w:name w:val="Заголовок 6 Знак"/>
    <w:link w:val="6"/>
    <w:uiPriority w:val="99"/>
    <w:semiHidden/>
    <w:locked/>
    <w:rsid w:val="008377D7"/>
    <w:rPr>
      <w:rFonts w:eastAsia="Times New Roman" w:cs="Times New Roman"/>
      <w:i/>
      <w:iCs/>
      <w:color w:val="595959"/>
      <w:lang w:val="uk-UA"/>
    </w:rPr>
  </w:style>
  <w:style w:type="character" w:customStyle="1" w:styleId="70">
    <w:name w:val="Заголовок 7 Знак"/>
    <w:link w:val="7"/>
    <w:uiPriority w:val="99"/>
    <w:semiHidden/>
    <w:locked/>
    <w:rsid w:val="008377D7"/>
    <w:rPr>
      <w:rFonts w:eastAsia="Times New Roman" w:cs="Times New Roman"/>
      <w:color w:val="595959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8377D7"/>
    <w:rPr>
      <w:rFonts w:eastAsia="Times New Roman" w:cs="Times New Roman"/>
      <w:i/>
      <w:iCs/>
      <w:color w:val="272727"/>
      <w:lang w:val="uk-UA"/>
    </w:rPr>
  </w:style>
  <w:style w:type="character" w:customStyle="1" w:styleId="90">
    <w:name w:val="Заголовок 9 Знак"/>
    <w:link w:val="9"/>
    <w:uiPriority w:val="99"/>
    <w:semiHidden/>
    <w:locked/>
    <w:rsid w:val="008377D7"/>
    <w:rPr>
      <w:rFonts w:eastAsia="Times New Roman" w:cs="Times New Roman"/>
      <w:color w:val="272727"/>
      <w:lang w:val="uk-UA"/>
    </w:rPr>
  </w:style>
  <w:style w:type="paragraph" w:styleId="a3">
    <w:name w:val="Title"/>
    <w:basedOn w:val="a"/>
    <w:next w:val="a"/>
    <w:link w:val="a4"/>
    <w:uiPriority w:val="99"/>
    <w:qFormat/>
    <w:rsid w:val="008377D7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8377D7"/>
    <w:rPr>
      <w:rFonts w:ascii="Calibri Light" w:hAnsi="Calibri Light" w:cs="Times New Roman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99"/>
    <w:qFormat/>
    <w:rsid w:val="008377D7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8377D7"/>
    <w:rPr>
      <w:rFonts w:eastAsia="Times New Roman" w:cs="Times New Roman"/>
      <w:color w:val="595959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99"/>
    <w:qFormat/>
    <w:rsid w:val="008377D7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8377D7"/>
    <w:rPr>
      <w:rFonts w:cs="Times New Roman"/>
      <w:i/>
      <w:iCs/>
      <w:color w:val="404040"/>
      <w:lang w:val="uk-UA"/>
    </w:rPr>
  </w:style>
  <w:style w:type="paragraph" w:styleId="a7">
    <w:name w:val="List Paragraph"/>
    <w:basedOn w:val="a"/>
    <w:uiPriority w:val="99"/>
    <w:qFormat/>
    <w:rsid w:val="008377D7"/>
    <w:pPr>
      <w:ind w:left="720"/>
      <w:contextualSpacing/>
    </w:pPr>
  </w:style>
  <w:style w:type="character" w:styleId="a8">
    <w:name w:val="Intense Emphasis"/>
    <w:uiPriority w:val="99"/>
    <w:qFormat/>
    <w:rsid w:val="008377D7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8377D7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8377D7"/>
    <w:rPr>
      <w:rFonts w:cs="Times New Roman"/>
      <w:i/>
      <w:iCs/>
      <w:color w:val="2F5496"/>
      <w:lang w:val="uk-UA"/>
    </w:rPr>
  </w:style>
  <w:style w:type="character" w:styleId="ab">
    <w:name w:val="Intense Reference"/>
    <w:uiPriority w:val="99"/>
    <w:qFormat/>
    <w:rsid w:val="008377D7"/>
    <w:rPr>
      <w:rFonts w:cs="Times New Roman"/>
      <w:b/>
      <w:bCs/>
      <w:smallCaps/>
      <w:color w:val="2F5496"/>
      <w:spacing w:val="5"/>
    </w:rPr>
  </w:style>
  <w:style w:type="table" w:styleId="ac">
    <w:name w:val="Table Grid"/>
    <w:basedOn w:val="a1"/>
    <w:uiPriority w:val="99"/>
    <w:rsid w:val="007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225B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E31F29"/>
    <w:rPr>
      <w:kern w:val="2"/>
      <w:lang w:val="uk-UA" w:eastAsia="en-US"/>
    </w:rPr>
  </w:style>
  <w:style w:type="character" w:styleId="af">
    <w:name w:val="page number"/>
    <w:uiPriority w:val="99"/>
    <w:rsid w:val="00225B7B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B055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0558D"/>
    <w:rPr>
      <w:kern w:val="2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cp:lastPrinted>2025-09-12T07:43:00Z</cp:lastPrinted>
  <dcterms:created xsi:type="dcterms:W3CDTF">2025-09-12T07:42:00Z</dcterms:created>
  <dcterms:modified xsi:type="dcterms:W3CDTF">2025-09-22T05:36:00Z</dcterms:modified>
</cp:coreProperties>
</file>